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D" w:rsidRPr="000B7183" w:rsidRDefault="00E548CD" w:rsidP="00E548CD">
      <w:pPr>
        <w:spacing w:before="75" w:after="225" w:line="450" w:lineRule="atLeast"/>
        <w:ind w:left="600" w:right="600"/>
        <w:jc w:val="center"/>
        <w:outlineLvl w:val="2"/>
        <w:rPr>
          <w:rFonts w:ascii="Geneva" w:eastAsia="Times New Roman" w:hAnsi="Geneva" w:cs="Times New Roman"/>
          <w:b/>
          <w:bCs/>
          <w:caps/>
          <w:sz w:val="48"/>
          <w:szCs w:val="48"/>
          <w:lang w:eastAsia="pt-BR"/>
        </w:rPr>
      </w:pPr>
      <w:bookmarkStart w:id="0" w:name="_GoBack"/>
      <w:r w:rsidRPr="000B7183">
        <w:rPr>
          <w:rFonts w:ascii="Geneva" w:eastAsia="Times New Roman" w:hAnsi="Geneva" w:cs="Times New Roman"/>
          <w:b/>
          <w:bCs/>
          <w:caps/>
          <w:sz w:val="48"/>
          <w:szCs w:val="48"/>
          <w:lang w:eastAsia="pt-BR"/>
        </w:rPr>
        <w:t>ITINERÁRIOS FORMATIVOS</w:t>
      </w:r>
    </w:p>
    <w:p w:rsidR="00E548CD" w:rsidRPr="000B7183" w:rsidRDefault="000B7183" w:rsidP="00E548CD">
      <w:pPr>
        <w:spacing w:after="0" w:line="195" w:lineRule="atLeast"/>
        <w:ind w:left="525" w:right="525"/>
        <w:jc w:val="right"/>
        <w:outlineLvl w:val="3"/>
        <w:rPr>
          <w:rFonts w:ascii="Geneva" w:eastAsia="Times New Roman" w:hAnsi="Geneva" w:cs="Times New Roman"/>
          <w:i/>
          <w:iCs/>
          <w:spacing w:val="15"/>
          <w:sz w:val="24"/>
          <w:szCs w:val="24"/>
          <w:lang w:eastAsia="pt-BR"/>
        </w:rPr>
      </w:pPr>
      <w:hyperlink r:id="rId5" w:anchor="marram" w:tooltip="autor: &#10;Marise Nogueira Ramos" w:history="1">
        <w:proofErr w:type="spellStart"/>
        <w:r w:rsidR="00E548CD" w:rsidRPr="000B7183">
          <w:rPr>
            <w:rFonts w:ascii="Geneva" w:eastAsia="Times New Roman" w:hAnsi="Geneva" w:cs="Times New Roman"/>
            <w:i/>
            <w:iCs/>
            <w:spacing w:val="15"/>
            <w:sz w:val="24"/>
            <w:szCs w:val="24"/>
            <w:bdr w:val="none" w:sz="0" w:space="0" w:color="auto" w:frame="1"/>
            <w:lang w:eastAsia="pt-BR"/>
          </w:rPr>
          <w:t>Marise</w:t>
        </w:r>
        <w:proofErr w:type="spellEnd"/>
        <w:r w:rsidR="00E548CD" w:rsidRPr="000B7183">
          <w:rPr>
            <w:rFonts w:ascii="Geneva" w:eastAsia="Times New Roman" w:hAnsi="Geneva" w:cs="Times New Roman"/>
            <w:i/>
            <w:iCs/>
            <w:spacing w:val="15"/>
            <w:sz w:val="24"/>
            <w:szCs w:val="24"/>
            <w:bdr w:val="none" w:sz="0" w:space="0" w:color="auto" w:frame="1"/>
            <w:lang w:eastAsia="pt-BR"/>
          </w:rPr>
          <w:t xml:space="preserve"> Nogueira Ramos</w:t>
        </w:r>
      </w:hyperlink>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bdr w:val="none" w:sz="0" w:space="0" w:color="auto" w:frame="1"/>
          <w:lang w:eastAsia="pt-BR"/>
        </w:rPr>
        <w:t>A</w:t>
      </w:r>
      <w:r w:rsidRPr="000B7183">
        <w:rPr>
          <w:rFonts w:ascii="Times New Roman" w:eastAsia="Times New Roman" w:hAnsi="Times New Roman" w:cs="Times New Roman"/>
          <w:sz w:val="27"/>
          <w:szCs w:val="27"/>
          <w:lang w:eastAsia="pt-BR"/>
        </w:rPr>
        <w:t> expressão ‘</w:t>
      </w:r>
      <w:hyperlink r:id="rId6" w:tooltip="Próprio verbete [1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 formativo</w:t>
        </w:r>
      </w:hyperlink>
      <w:r w:rsidRPr="000B7183">
        <w:rPr>
          <w:rFonts w:ascii="Times New Roman" w:eastAsia="Times New Roman" w:hAnsi="Times New Roman" w:cs="Times New Roman"/>
          <w:sz w:val="27"/>
          <w:szCs w:val="27"/>
          <w:lang w:eastAsia="pt-BR"/>
        </w:rPr>
        <w:t>’, no nível macro, refere-se à estrutura de formação escolar de cada país, com diferenças marcadas, nacionalmente, a partir da história do sistema escolar, do modo como se organizaram os sistemas de formação profissional ou do modo de acesso à </w:t>
      </w:r>
      <w:bookmarkStart w:id="1" w:name="pro"/>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"http://www.epsjv.fiocruz.br/dicionario/verbetes/pro.html" \o "Verbete: Profissão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profissão</w:t>
      </w:r>
      <w:r w:rsidRPr="000B7183">
        <w:rPr>
          <w:rFonts w:ascii="Times New Roman" w:eastAsia="Times New Roman" w:hAnsi="Times New Roman" w:cs="Times New Roman"/>
          <w:sz w:val="27"/>
          <w:szCs w:val="27"/>
          <w:lang w:eastAsia="pt-BR"/>
        </w:rPr>
        <w:fldChar w:fldCharType="end"/>
      </w:r>
      <w:bookmarkEnd w:id="1"/>
      <w:r w:rsidRPr="000B7183">
        <w:rPr>
          <w:rFonts w:ascii="Times New Roman" w:eastAsia="Times New Roman" w:hAnsi="Times New Roman" w:cs="Times New Roman"/>
          <w:sz w:val="27"/>
          <w:szCs w:val="27"/>
          <w:lang w:eastAsia="pt-BR"/>
        </w:rPr>
        <w:t>. As bases organizativas dos currículos, se contínuas ou modulares, definirão, em parte, os tipos de ‘</w:t>
      </w:r>
      <w:hyperlink r:id="rId7" w:tooltip="Próprio verbete [1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que podem ser seguidos pelos estudantes, em coerência com a organização e as normas dos sistemas de ensino e de formação profissional.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O princípio da continuidade é próprio do currículo. Ele significa que a estruturação dos sistemas de ensino e a programação das atividades educacionais devem garantir o progressivo avanço do aluno no seu processo de aprendizagem e escolarização, evitando- se interrupções e repetições de conteúdos e de experiências. Significa também permitir que não haja divisões que impeçam o educando de dar continuidade a seus estudos, a cada etapa vencida, não comprometendo, assim, as perspectivas de uma formação permanente e ao longo da vida. Nesse sentido, a organização curricular, quer seja em séries, quer em ciclos ou módulos, pode e deve preservar esse princípio.</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 xml:space="preserve">Módulos são definidos como unidades temáticas autônomas, com caráter de </w:t>
      </w:r>
      <w:proofErr w:type="spellStart"/>
      <w:r w:rsidRPr="000B7183">
        <w:rPr>
          <w:rFonts w:ascii="Times New Roman" w:eastAsia="Times New Roman" w:hAnsi="Times New Roman" w:cs="Times New Roman"/>
          <w:sz w:val="27"/>
          <w:szCs w:val="27"/>
          <w:lang w:eastAsia="pt-BR"/>
        </w:rPr>
        <w:t>terminalidade</w:t>
      </w:r>
      <w:proofErr w:type="spellEnd"/>
      <w:r w:rsidRPr="000B7183">
        <w:rPr>
          <w:rFonts w:ascii="Times New Roman" w:eastAsia="Times New Roman" w:hAnsi="Times New Roman" w:cs="Times New Roman"/>
          <w:sz w:val="27"/>
          <w:szCs w:val="27"/>
          <w:lang w:eastAsia="pt-BR"/>
        </w:rPr>
        <w:t xml:space="preserve">, sancionáveis por exames e certificados, podendo ser acumuladas para fins de obtenção de diplomas. Podem ser previstas ou </w:t>
      </w:r>
      <w:r w:rsidRPr="000B7183">
        <w:rPr>
          <w:rFonts w:ascii="Times New Roman" w:eastAsia="Times New Roman" w:hAnsi="Times New Roman" w:cs="Times New Roman"/>
          <w:sz w:val="27"/>
          <w:szCs w:val="27"/>
          <w:lang w:eastAsia="pt-BR"/>
        </w:rPr>
        <w:lastRenderedPageBreak/>
        <w:t xml:space="preserve">atender demandas emergentes, abranger uma única ou mais disciplinas, contar ou não com pré-requisitos. Tal organização curricular permite ao aluno imprimir ritmo e direção ao seu percurso formativo, dando-lhe alguma independência e flexibilidade para retardar, acelerar, interromper e retomar seus estudos; atender a demandas individuais e a novas exigências profissionais, facilitando a integração daqueles com defasagens e dificuldades de aprendizagem. Entretanto, o grau de liberdade dos alunos para influir nesse processo é um assunto para negociações. Sobretudo, é preciso garantir que a estruturação do currículo siga critérios psicopedagógicos e que leve em conta os graus de complexidade, a </w:t>
      </w:r>
      <w:proofErr w:type="spellStart"/>
      <w:r w:rsidRPr="000B7183">
        <w:rPr>
          <w:rFonts w:ascii="Times New Roman" w:eastAsia="Times New Roman" w:hAnsi="Times New Roman" w:cs="Times New Roman"/>
          <w:sz w:val="27"/>
          <w:szCs w:val="27"/>
          <w:lang w:eastAsia="pt-BR"/>
        </w:rPr>
        <w:t>seqüenciação</w:t>
      </w:r>
      <w:proofErr w:type="spellEnd"/>
      <w:r w:rsidRPr="000B7183">
        <w:rPr>
          <w:rFonts w:ascii="Times New Roman" w:eastAsia="Times New Roman" w:hAnsi="Times New Roman" w:cs="Times New Roman"/>
          <w:sz w:val="27"/>
          <w:szCs w:val="27"/>
          <w:lang w:eastAsia="pt-BR"/>
        </w:rPr>
        <w:t>, a complementaridade dos conteúdos e a dinâmica dos processos de assimilação e aprendizagem, considerando, principalmente, os históricos heterogêneos dos alunos, suas experiências formativas anteriores e planos futuros para sua trajetória de estudos (Machado, 2005).</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A principal discussão que se trava sobre esta questão está ligada ao confronto entre os sistemas de formação mais generalistas e os sistemas profissionais que formam qualificações a serem imediatamente utilizadas em certos postos de </w:t>
      </w:r>
      <w:bookmarkStart w:id="2" w:name="tra"/>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"http://www.epsjv.fiocruz.br/dicionario/verbetes/tra.html" \o "Verbete: Trabalho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trabalho</w:t>
      </w:r>
      <w:r w:rsidRPr="000B7183">
        <w:rPr>
          <w:rFonts w:ascii="Times New Roman" w:eastAsia="Times New Roman" w:hAnsi="Times New Roman" w:cs="Times New Roman"/>
          <w:sz w:val="27"/>
          <w:szCs w:val="27"/>
          <w:lang w:eastAsia="pt-BR"/>
        </w:rPr>
        <w:fldChar w:fldCharType="end"/>
      </w:r>
      <w:bookmarkEnd w:id="2"/>
      <w:r w:rsidRPr="000B7183">
        <w:rPr>
          <w:rFonts w:ascii="Times New Roman" w:eastAsia="Times New Roman" w:hAnsi="Times New Roman" w:cs="Times New Roman"/>
          <w:sz w:val="27"/>
          <w:szCs w:val="27"/>
          <w:lang w:eastAsia="pt-BR"/>
        </w:rPr>
        <w:t>(</w:t>
      </w:r>
      <w:proofErr w:type="spellStart"/>
      <w:r w:rsidRPr="000B7183">
        <w:rPr>
          <w:rFonts w:ascii="Times New Roman" w:eastAsia="Times New Roman" w:hAnsi="Times New Roman" w:cs="Times New Roman"/>
          <w:sz w:val="27"/>
          <w:szCs w:val="27"/>
          <w:lang w:eastAsia="pt-BR"/>
        </w:rPr>
        <w:t>Crivellari</w:t>
      </w:r>
      <w:proofErr w:type="spellEnd"/>
      <w:r w:rsidRPr="000B7183">
        <w:rPr>
          <w:rFonts w:ascii="Times New Roman" w:eastAsia="Times New Roman" w:hAnsi="Times New Roman" w:cs="Times New Roman"/>
          <w:sz w:val="27"/>
          <w:szCs w:val="27"/>
          <w:lang w:eastAsia="pt-BR"/>
        </w:rPr>
        <w:t>, 2005). A relação linear e imediata entre a </w:t>
      </w:r>
      <w:bookmarkStart w:id="3" w:name="edu"/>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"http://www.epsjv.fiocruz.br/dicionario/verbetes/edu.html" \o "Verbete: Educação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educação</w:t>
      </w:r>
      <w:r w:rsidRPr="000B7183">
        <w:rPr>
          <w:rFonts w:ascii="Times New Roman" w:eastAsia="Times New Roman" w:hAnsi="Times New Roman" w:cs="Times New Roman"/>
          <w:sz w:val="27"/>
          <w:szCs w:val="27"/>
          <w:lang w:eastAsia="pt-BR"/>
        </w:rPr>
        <w:fldChar w:fldCharType="end"/>
      </w:r>
      <w:bookmarkEnd w:id="3"/>
      <w:r w:rsidRPr="000B7183">
        <w:rPr>
          <w:rFonts w:ascii="Times New Roman" w:eastAsia="Times New Roman" w:hAnsi="Times New Roman" w:cs="Times New Roman"/>
          <w:sz w:val="27"/>
          <w:szCs w:val="27"/>
          <w:lang w:eastAsia="pt-BR"/>
        </w:rPr>
        <w:t>, especialmente a profissional, e as necessidades do mercado de trabalho, foi o principal fundamento da economia da educação dos anos 70, protagonizada pela Teoria do </w:t>
      </w:r>
      <w:bookmarkStart w:id="4" w:name="caphum"/>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"http://www.epsjv.fiocruz.br/dicionario/verbetes/caphum.html" \o "Verbete: Capital Humano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Capital Humano</w:t>
      </w:r>
      <w:r w:rsidRPr="000B7183">
        <w:rPr>
          <w:rFonts w:ascii="Times New Roman" w:eastAsia="Times New Roman" w:hAnsi="Times New Roman" w:cs="Times New Roman"/>
          <w:sz w:val="27"/>
          <w:szCs w:val="27"/>
          <w:lang w:eastAsia="pt-BR"/>
        </w:rPr>
        <w:fldChar w:fldCharType="end"/>
      </w:r>
      <w:bookmarkEnd w:id="4"/>
      <w:r w:rsidRPr="000B7183">
        <w:rPr>
          <w:rFonts w:ascii="Times New Roman" w:eastAsia="Times New Roman" w:hAnsi="Times New Roman" w:cs="Times New Roman"/>
          <w:sz w:val="27"/>
          <w:szCs w:val="27"/>
          <w:lang w:eastAsia="pt-BR"/>
        </w:rPr>
        <w:t> e das medidas designadas como </w:t>
      </w:r>
      <w:proofErr w:type="spellStart"/>
      <w:r w:rsidRPr="000B7183">
        <w:rPr>
          <w:rFonts w:ascii="Times New Roman" w:eastAsia="Times New Roman" w:hAnsi="Times New Roman" w:cs="Times New Roman"/>
          <w:i/>
          <w:iCs/>
          <w:sz w:val="27"/>
          <w:szCs w:val="27"/>
          <w:bdr w:val="none" w:sz="0" w:space="0" w:color="auto" w:frame="1"/>
          <w:lang w:eastAsia="pt-BR"/>
        </w:rPr>
        <w:t>man</w:t>
      </w:r>
      <w:proofErr w:type="spellEnd"/>
      <w:r w:rsidRPr="000B7183">
        <w:rPr>
          <w:rFonts w:ascii="Times New Roman" w:eastAsia="Times New Roman" w:hAnsi="Times New Roman" w:cs="Times New Roman"/>
          <w:i/>
          <w:iCs/>
          <w:sz w:val="27"/>
          <w:szCs w:val="27"/>
          <w:bdr w:val="none" w:sz="0" w:space="0" w:color="auto" w:frame="1"/>
          <w:lang w:eastAsia="pt-BR"/>
        </w:rPr>
        <w:t xml:space="preserve"> </w:t>
      </w:r>
      <w:proofErr w:type="spellStart"/>
      <w:proofErr w:type="gramStart"/>
      <w:r w:rsidRPr="000B7183">
        <w:rPr>
          <w:rFonts w:ascii="Times New Roman" w:eastAsia="Times New Roman" w:hAnsi="Times New Roman" w:cs="Times New Roman"/>
          <w:i/>
          <w:iCs/>
          <w:sz w:val="27"/>
          <w:szCs w:val="27"/>
          <w:bdr w:val="none" w:sz="0" w:space="0" w:color="auto" w:frame="1"/>
          <w:lang w:eastAsia="pt-BR"/>
        </w:rPr>
        <w:t>power</w:t>
      </w:r>
      <w:proofErr w:type="spellEnd"/>
      <w:proofErr w:type="gramEnd"/>
      <w:r w:rsidRPr="000B7183">
        <w:rPr>
          <w:rFonts w:ascii="Times New Roman" w:eastAsia="Times New Roman" w:hAnsi="Times New Roman" w:cs="Times New Roman"/>
          <w:i/>
          <w:iCs/>
          <w:sz w:val="27"/>
          <w:szCs w:val="27"/>
          <w:bdr w:val="none" w:sz="0" w:space="0" w:color="auto" w:frame="1"/>
          <w:lang w:eastAsia="pt-BR"/>
        </w:rPr>
        <w:t xml:space="preserve"> approach</w:t>
      </w:r>
      <w:r w:rsidRPr="000B7183">
        <w:rPr>
          <w:rFonts w:ascii="Times New Roman" w:eastAsia="Times New Roman" w:hAnsi="Times New Roman" w:cs="Times New Roman"/>
          <w:sz w:val="27"/>
          <w:szCs w:val="27"/>
          <w:lang w:eastAsia="pt-BR"/>
        </w:rPr>
        <w:t xml:space="preserve">. Críticas contundentes e fundamentadas a essa abordagem foram realizadas tanto pelo seu aspecto ideológico quanto por sua </w:t>
      </w:r>
      <w:r w:rsidRPr="000B7183">
        <w:rPr>
          <w:rFonts w:ascii="Times New Roman" w:eastAsia="Times New Roman" w:hAnsi="Times New Roman" w:cs="Times New Roman"/>
          <w:sz w:val="27"/>
          <w:szCs w:val="27"/>
          <w:lang w:eastAsia="pt-BR"/>
        </w:rPr>
        <w:lastRenderedPageBreak/>
        <w:t>insuficiência empírica. Não obstante, sob a crise contemporânea do emprego e das qualificações, essa abordagem muitas vezes é resgatada para justificar políticas de formação e de re</w:t>
      </w:r>
      <w:bookmarkStart w:id="5" w:name="quarelsoc"/>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"http://www.epsjv.fiocruz.br/dicionario/verbetes/quarelsoc.html" \o "Verbete: ≈ Qualificação como Relação Social (semelhante ou associado)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qualificação</w:t>
      </w:r>
      <w:r w:rsidRPr="000B7183">
        <w:rPr>
          <w:rFonts w:ascii="Times New Roman" w:eastAsia="Times New Roman" w:hAnsi="Times New Roman" w:cs="Times New Roman"/>
          <w:sz w:val="27"/>
          <w:szCs w:val="27"/>
          <w:lang w:eastAsia="pt-BR"/>
        </w:rPr>
        <w:fldChar w:fldCharType="end"/>
      </w:r>
      <w:r w:rsidRPr="000B7183">
        <w:rPr>
          <w:rFonts w:ascii="Times New Roman" w:eastAsia="Times New Roman" w:hAnsi="Times New Roman" w:cs="Times New Roman"/>
          <w:sz w:val="27"/>
          <w:szCs w:val="27"/>
          <w:lang w:eastAsia="pt-BR"/>
        </w:rPr>
        <w:t> mais afinadas com as configurações ocupacionais do mercado de trabalho.</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A discussão sobre os ‘</w:t>
      </w:r>
      <w:hyperlink r:id="rId8" w:tooltip="Próprio verbete [2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não escapa a essa abordagem. A lógica de organização dos </w:t>
      </w:r>
      <w:hyperlink r:id="rId9" w:tooltip="Próprio verbete [3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tem dois fundamentos. O primeiro é a previsão de que as qualificações obtidas por meio de cursos, etapas ou módulos correspondentes a ocupações de uma família ocupacional ou área profissional possam redundar numa titulação de nível superior a essas qualificações. O segundo considera que tais cursos, etapas ou módulos, nos seus respectivos níveis, correspondam a ocupações existentes no mercado de trabalho. Com isto, as experiências formativas dos trabalhadores teriam um potencial de aproveitamento, tanto para o trabalhador quanto para o empregador, em duas direções: a) verticalmente, porque um conjunto de qualificações de níveis menores pode levar a titulações de níveis superiores; b) horizontalmente, porque a cada </w:t>
      </w:r>
      <w:hyperlink r:id="rId10" w:tooltip="Verbete: ≈ Qualificação como Relação Social (semelhante ou associado) [2º ocorrência]" w:history="1">
        <w:r w:rsidRPr="000B7183">
          <w:rPr>
            <w:rFonts w:ascii="Times New Roman" w:eastAsia="Times New Roman" w:hAnsi="Times New Roman" w:cs="Times New Roman"/>
            <w:sz w:val="27"/>
            <w:szCs w:val="27"/>
            <w:bdr w:val="none" w:sz="0" w:space="0" w:color="auto" w:frame="1"/>
            <w:lang w:eastAsia="pt-BR"/>
          </w:rPr>
          <w:t>qualificação</w:t>
        </w:r>
      </w:hyperlink>
      <w:r w:rsidRPr="000B7183">
        <w:rPr>
          <w:rFonts w:ascii="Times New Roman" w:eastAsia="Times New Roman" w:hAnsi="Times New Roman" w:cs="Times New Roman"/>
          <w:sz w:val="27"/>
          <w:szCs w:val="27"/>
          <w:lang w:eastAsia="pt-BR"/>
        </w:rPr>
        <w:t xml:space="preserve"> corresponderia </w:t>
      </w:r>
      <w:proofErr w:type="spellStart"/>
      <w:r w:rsidRPr="000B7183">
        <w:rPr>
          <w:rFonts w:ascii="Times New Roman" w:eastAsia="Times New Roman" w:hAnsi="Times New Roman" w:cs="Times New Roman"/>
          <w:sz w:val="27"/>
          <w:szCs w:val="27"/>
          <w:lang w:eastAsia="pt-BR"/>
        </w:rPr>
        <w:t>uma</w:t>
      </w:r>
      <w:bookmarkStart w:id="6" w:name="ocu"/>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"http://www.epsjv.fiocruz.br/dicionario/verbetes/ocu.html" \o "Verbete: Ocupação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ocupação</w:t>
      </w:r>
      <w:proofErr w:type="spellEnd"/>
      <w:r w:rsidRPr="000B7183">
        <w:rPr>
          <w:rFonts w:ascii="Times New Roman" w:eastAsia="Times New Roman" w:hAnsi="Times New Roman" w:cs="Times New Roman"/>
          <w:sz w:val="27"/>
          <w:szCs w:val="27"/>
          <w:lang w:eastAsia="pt-BR"/>
        </w:rPr>
        <w:fldChar w:fldCharType="end"/>
      </w:r>
      <w:bookmarkEnd w:id="6"/>
      <w:r w:rsidRPr="000B7183">
        <w:rPr>
          <w:rFonts w:ascii="Times New Roman" w:eastAsia="Times New Roman" w:hAnsi="Times New Roman" w:cs="Times New Roman"/>
          <w:sz w:val="27"/>
          <w:szCs w:val="27"/>
          <w:lang w:eastAsia="pt-BR"/>
        </w:rPr>
        <w:t> reconhecida nas classificações ocupacionais.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Se a perspectiva de organização de ‘</w:t>
      </w:r>
      <w:hyperlink r:id="rId11" w:tooltip="Próprio verbete [4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xml:space="preserve">’ ascendentes, em que as formações intermediárias sejam tanto possibilitadas pela </w:t>
      </w:r>
      <w:proofErr w:type="gramStart"/>
      <w:r w:rsidRPr="000B7183">
        <w:rPr>
          <w:rFonts w:ascii="Times New Roman" w:eastAsia="Times New Roman" w:hAnsi="Times New Roman" w:cs="Times New Roman"/>
          <w:sz w:val="27"/>
          <w:szCs w:val="27"/>
          <w:lang w:eastAsia="pt-BR"/>
        </w:rPr>
        <w:t>oferta de cursos quanto validadas</w:t>
      </w:r>
      <w:proofErr w:type="gramEnd"/>
      <w:r w:rsidRPr="000B7183">
        <w:rPr>
          <w:rFonts w:ascii="Times New Roman" w:eastAsia="Times New Roman" w:hAnsi="Times New Roman" w:cs="Times New Roman"/>
          <w:sz w:val="27"/>
          <w:szCs w:val="27"/>
          <w:lang w:eastAsia="pt-BR"/>
        </w:rPr>
        <w:t xml:space="preserve"> por um sistema de certificação, constituiu-se numa oportunidade e num direito do trabalhador, não se pode cair, por outro lado, no pressuposto de regular a oferta formativa de acordo com os postos de trabalho existentes, ao estilo do citado modelo de </w:t>
      </w:r>
      <w:proofErr w:type="spellStart"/>
      <w:r w:rsidRPr="000B7183">
        <w:rPr>
          <w:rFonts w:ascii="Times New Roman" w:eastAsia="Times New Roman" w:hAnsi="Times New Roman" w:cs="Times New Roman"/>
          <w:i/>
          <w:iCs/>
          <w:sz w:val="27"/>
          <w:szCs w:val="27"/>
          <w:bdr w:val="none" w:sz="0" w:space="0" w:color="auto" w:frame="1"/>
          <w:lang w:eastAsia="pt-BR"/>
        </w:rPr>
        <w:t>man</w:t>
      </w:r>
      <w:proofErr w:type="spellEnd"/>
      <w:r w:rsidRPr="000B7183">
        <w:rPr>
          <w:rFonts w:ascii="Times New Roman" w:eastAsia="Times New Roman" w:hAnsi="Times New Roman" w:cs="Times New Roman"/>
          <w:i/>
          <w:iCs/>
          <w:sz w:val="27"/>
          <w:szCs w:val="27"/>
          <w:bdr w:val="none" w:sz="0" w:space="0" w:color="auto" w:frame="1"/>
          <w:lang w:eastAsia="pt-BR"/>
        </w:rPr>
        <w:t xml:space="preserve"> </w:t>
      </w:r>
      <w:proofErr w:type="spellStart"/>
      <w:r w:rsidRPr="000B7183">
        <w:rPr>
          <w:rFonts w:ascii="Times New Roman" w:eastAsia="Times New Roman" w:hAnsi="Times New Roman" w:cs="Times New Roman"/>
          <w:i/>
          <w:iCs/>
          <w:sz w:val="27"/>
          <w:szCs w:val="27"/>
          <w:bdr w:val="none" w:sz="0" w:space="0" w:color="auto" w:frame="1"/>
          <w:lang w:eastAsia="pt-BR"/>
        </w:rPr>
        <w:t>power</w:t>
      </w:r>
      <w:proofErr w:type="spellEnd"/>
      <w:r w:rsidRPr="000B7183">
        <w:rPr>
          <w:rFonts w:ascii="Times New Roman" w:eastAsia="Times New Roman" w:hAnsi="Times New Roman" w:cs="Times New Roman"/>
          <w:i/>
          <w:iCs/>
          <w:sz w:val="27"/>
          <w:szCs w:val="27"/>
          <w:bdr w:val="none" w:sz="0" w:space="0" w:color="auto" w:frame="1"/>
          <w:lang w:eastAsia="pt-BR"/>
        </w:rPr>
        <w:t xml:space="preserve"> approach</w:t>
      </w:r>
      <w:r w:rsidRPr="000B7183">
        <w:rPr>
          <w:rFonts w:ascii="Times New Roman" w:eastAsia="Times New Roman" w:hAnsi="Times New Roman" w:cs="Times New Roman"/>
          <w:sz w:val="27"/>
          <w:szCs w:val="27"/>
          <w:lang w:eastAsia="pt-BR"/>
        </w:rPr>
        <w:t xml:space="preserve">. Isto </w:t>
      </w:r>
      <w:r w:rsidRPr="000B7183">
        <w:rPr>
          <w:rFonts w:ascii="Times New Roman" w:eastAsia="Times New Roman" w:hAnsi="Times New Roman" w:cs="Times New Roman"/>
          <w:sz w:val="27"/>
          <w:szCs w:val="27"/>
          <w:lang w:eastAsia="pt-BR"/>
        </w:rPr>
        <w:lastRenderedPageBreak/>
        <w:t>voltaria a fragmentar e a limitar a formação dos trabalhadores aos requisitos econômicos, técnicos e procedimentais da oferta de postos de trabalho, retirando-se, mais uma vez, o trabalhador de sua condição de sujeito para objetivá-lo a fator descartável da produção.</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A maneira de enfrentar essa questão relaciona-se com a concepção de </w:t>
      </w:r>
      <w:hyperlink r:id="rId12" w:tooltip="Verbete: ≈ Qualificação como Relação Social (semelhante ou associado) [3º ocorrência]" w:history="1">
        <w:r w:rsidRPr="000B7183">
          <w:rPr>
            <w:rFonts w:ascii="Times New Roman" w:eastAsia="Times New Roman" w:hAnsi="Times New Roman" w:cs="Times New Roman"/>
            <w:sz w:val="27"/>
            <w:szCs w:val="27"/>
            <w:bdr w:val="none" w:sz="0" w:space="0" w:color="auto" w:frame="1"/>
            <w:lang w:eastAsia="pt-BR"/>
          </w:rPr>
          <w:t>qualificação</w:t>
        </w:r>
      </w:hyperlink>
      <w:r w:rsidRPr="000B7183">
        <w:rPr>
          <w:rFonts w:ascii="Times New Roman" w:eastAsia="Times New Roman" w:hAnsi="Times New Roman" w:cs="Times New Roman"/>
          <w:sz w:val="27"/>
          <w:szCs w:val="27"/>
          <w:lang w:eastAsia="pt-BR"/>
        </w:rPr>
        <w:t> que embasa os parâmetros definidores dos títulos profissionais e dos ‘</w:t>
      </w:r>
      <w:hyperlink r:id="rId13" w:tooltip="Próprio verbete [5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xml:space="preserve">’. </w:t>
      </w:r>
      <w:proofErr w:type="gramStart"/>
      <w:r w:rsidRPr="000B7183">
        <w:rPr>
          <w:rFonts w:ascii="Times New Roman" w:eastAsia="Times New Roman" w:hAnsi="Times New Roman" w:cs="Times New Roman"/>
          <w:sz w:val="27"/>
          <w:szCs w:val="27"/>
          <w:lang w:eastAsia="pt-BR"/>
        </w:rPr>
        <w:t>Esses parâmetros podem ser restritos às ocupações e características dos postos de trabalho, ou configurados com base numa compreensão da </w:t>
      </w:r>
      <w:hyperlink r:id="rId14" w:tooltip="Verbete: ≈ Qualificação como Relação Social (semelhante ou associado) [4º ocorrência]" w:history="1">
        <w:r w:rsidRPr="000B7183">
          <w:rPr>
            <w:rFonts w:ascii="Times New Roman" w:eastAsia="Times New Roman" w:hAnsi="Times New Roman" w:cs="Times New Roman"/>
            <w:sz w:val="27"/>
            <w:szCs w:val="27"/>
            <w:bdr w:val="none" w:sz="0" w:space="0" w:color="auto" w:frame="1"/>
            <w:lang w:eastAsia="pt-BR"/>
          </w:rPr>
          <w:t>qualificação</w:t>
        </w:r>
      </w:hyperlink>
      <w:r w:rsidRPr="000B7183">
        <w:rPr>
          <w:rFonts w:ascii="Times New Roman" w:eastAsia="Times New Roman" w:hAnsi="Times New Roman" w:cs="Times New Roman"/>
          <w:sz w:val="27"/>
          <w:szCs w:val="27"/>
          <w:lang w:eastAsia="pt-BR"/>
        </w:rPr>
        <w:t> como unidade integrada de conhecimentos científicos e técnicos que possibilitem ao trabalhador atuar em processos produtivos complexos, com suas variações tecnológicas e procedimentais, associados a uma formação política que permita uma inserção profissional não subordinada e alienada na </w:t>
      </w:r>
      <w:bookmarkStart w:id="7" w:name="divsoctra"/>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"http://www.epsjv.fiocruz.br/dicionario/verbetes/divsoctra.html" \o "Verbete: Divisão Social do Trabalho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divisão social do trabalho</w:t>
      </w:r>
      <w:r w:rsidRPr="000B7183">
        <w:rPr>
          <w:rFonts w:ascii="Times New Roman" w:eastAsia="Times New Roman" w:hAnsi="Times New Roman" w:cs="Times New Roman"/>
          <w:sz w:val="27"/>
          <w:szCs w:val="27"/>
          <w:lang w:eastAsia="pt-BR"/>
        </w:rPr>
        <w:fldChar w:fldCharType="end"/>
      </w:r>
      <w:bookmarkEnd w:id="7"/>
      <w:r w:rsidRPr="000B7183">
        <w:rPr>
          <w:rFonts w:ascii="Times New Roman" w:eastAsia="Times New Roman" w:hAnsi="Times New Roman" w:cs="Times New Roman"/>
          <w:sz w:val="27"/>
          <w:szCs w:val="27"/>
          <w:lang w:eastAsia="pt-BR"/>
        </w:rPr>
        <w:t>.</w:t>
      </w:r>
      <w:proofErr w:type="gramEnd"/>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A realidade concreta dos sujeitos adultos trabalhadores que retornam a processos formativos sejam de educação básica, sejam de </w:t>
      </w:r>
      <w:hyperlink r:id="rId15" w:tooltip="Verbete: ≈ Qualificação como Relação Social (semelhante ou associado) [primeira ocorrência]" w:history="1">
        <w:r w:rsidRPr="000B7183">
          <w:rPr>
            <w:rFonts w:ascii="Times New Roman" w:eastAsia="Times New Roman" w:hAnsi="Times New Roman" w:cs="Times New Roman"/>
            <w:sz w:val="27"/>
            <w:szCs w:val="27"/>
            <w:bdr w:val="none" w:sz="0" w:space="0" w:color="auto" w:frame="1"/>
            <w:lang w:eastAsia="pt-BR"/>
          </w:rPr>
          <w:t>qualificação profissional</w:t>
        </w:r>
      </w:hyperlink>
      <w:bookmarkEnd w:id="5"/>
      <w:r w:rsidRPr="000B7183">
        <w:rPr>
          <w:rFonts w:ascii="Times New Roman" w:eastAsia="Times New Roman" w:hAnsi="Times New Roman" w:cs="Times New Roman"/>
          <w:sz w:val="27"/>
          <w:szCs w:val="27"/>
          <w:lang w:eastAsia="pt-BR"/>
        </w:rPr>
        <w:t xml:space="preserve">, não pode ser ignorada. De fato, esse retorno se dá, na maioria das vezes, de forma fragmentada e sazonal, intercalando-se períodos formais de estudo com outros somente de trabalho, períodos de emprego com os de desemprego. Essa realidade, que não pode ser avaliada </w:t>
      </w:r>
      <w:proofErr w:type="gramStart"/>
      <w:r w:rsidRPr="000B7183">
        <w:rPr>
          <w:rFonts w:ascii="Times New Roman" w:eastAsia="Times New Roman" w:hAnsi="Times New Roman" w:cs="Times New Roman"/>
          <w:sz w:val="27"/>
          <w:szCs w:val="27"/>
          <w:lang w:eastAsia="pt-BR"/>
        </w:rPr>
        <w:t>sob princípios</w:t>
      </w:r>
      <w:proofErr w:type="gramEnd"/>
      <w:r w:rsidRPr="000B7183">
        <w:rPr>
          <w:rFonts w:ascii="Times New Roman" w:eastAsia="Times New Roman" w:hAnsi="Times New Roman" w:cs="Times New Roman"/>
          <w:sz w:val="27"/>
          <w:szCs w:val="27"/>
          <w:lang w:eastAsia="pt-BR"/>
        </w:rPr>
        <w:t xml:space="preserve"> morais, deve ser compreendida como um produto da história de exclusão desses sujeitos. É preciso, então, que as políticas de educação dos trabalhadores não ignorem essa realidade e, ao contrário, proporcionem meios para que nenhuma dessas experiências seja perdida. Se os ‘</w:t>
      </w:r>
      <w:hyperlink r:id="rId16" w:tooltip="Próprio verbete [6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xml:space="preserve">’ são </w:t>
      </w:r>
      <w:r w:rsidRPr="000B7183">
        <w:rPr>
          <w:rFonts w:ascii="Times New Roman" w:eastAsia="Times New Roman" w:hAnsi="Times New Roman" w:cs="Times New Roman"/>
          <w:sz w:val="27"/>
          <w:szCs w:val="27"/>
          <w:lang w:eastAsia="pt-BR"/>
        </w:rPr>
        <w:lastRenderedPageBreak/>
        <w:t>estruturados de modo articulado, com possibilidades de ingresso, conclusão e retorno a etapas formativas, mediante critérios de reconhecimento e validação de saberes, os adultos devem ser incentivados a construir sua formação enfrentando as adversidades das condições concretas pelas quais produz sua existência. Para isto, entretanto, são necessárias políticas públicas que integrem formação, certificação, orientação e inserção profissional.</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É nesse contexto que é preciso considerar a importância da organização de um projeto de educação integral de trabalhadores com base em ‘</w:t>
      </w:r>
      <w:hyperlink r:id="rId17" w:tooltip="Próprio verbete [7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referentes às etapas que podem ser seguidas por um indivíduo no seu processo de formação profissional. Do ponto de vista das políticas de emprego, a identificação das possíveis trajetórias ocupacionais e a construção dos ‘</w:t>
      </w:r>
      <w:hyperlink r:id="rId18" w:tooltip="Próprio verbete [8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além de permitir melhor correspondência entre os requisitos demandados nas atividades de trabalho e os perfis construídos no processo educativo, podem possibilitar aos trabalhadores adequar, de acordo com suas possibilidades e condições, o ‘</w:t>
      </w:r>
      <w:hyperlink r:id="rId19" w:tooltip="Próprio verbete [2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 formativo</w:t>
        </w:r>
      </w:hyperlink>
      <w:r w:rsidRPr="000B7183">
        <w:rPr>
          <w:rFonts w:ascii="Times New Roman" w:eastAsia="Times New Roman" w:hAnsi="Times New Roman" w:cs="Times New Roman"/>
          <w:sz w:val="27"/>
          <w:szCs w:val="27"/>
          <w:lang w:eastAsia="pt-BR"/>
        </w:rPr>
        <w:t>’ ao itinerário profissional (Moraes &amp; Neto, 2005).</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A coerência e organicidade interna perseguidas no desenvolvimento da educação integral dos trabalhadores mediante ‘</w:t>
      </w:r>
      <w:hyperlink r:id="rId20" w:tooltip="Próprio verbete [9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xml:space="preserve">’ se opõem à justaposição de cursos específicos já existentes, transformados em módulos de grandes cursos e à oferta fragmentada e pontual de cursos básicos </w:t>
      </w:r>
      <w:proofErr w:type="spellStart"/>
      <w:r w:rsidRPr="000B7183">
        <w:rPr>
          <w:rFonts w:ascii="Times New Roman" w:eastAsia="Times New Roman" w:hAnsi="Times New Roman" w:cs="Times New Roman"/>
          <w:sz w:val="27"/>
          <w:szCs w:val="27"/>
          <w:lang w:eastAsia="pt-BR"/>
        </w:rPr>
        <w:t>de</w:t>
      </w:r>
      <w:hyperlink r:id="rId21" w:tooltip="Verbete: ≈ Qualificação como Relação Social (semelhante ou associado) [2º ocorrência]" w:history="1">
        <w:r w:rsidRPr="000B7183">
          <w:rPr>
            <w:rFonts w:ascii="Times New Roman" w:eastAsia="Times New Roman" w:hAnsi="Times New Roman" w:cs="Times New Roman"/>
            <w:sz w:val="27"/>
            <w:szCs w:val="27"/>
            <w:bdr w:val="none" w:sz="0" w:space="0" w:color="auto" w:frame="1"/>
            <w:lang w:eastAsia="pt-BR"/>
          </w:rPr>
          <w:t>qualificação</w:t>
        </w:r>
        <w:proofErr w:type="spellEnd"/>
        <w:r w:rsidRPr="000B7183">
          <w:rPr>
            <w:rFonts w:ascii="Times New Roman" w:eastAsia="Times New Roman" w:hAnsi="Times New Roman" w:cs="Times New Roman"/>
            <w:sz w:val="27"/>
            <w:szCs w:val="27"/>
            <w:bdr w:val="none" w:sz="0" w:space="0" w:color="auto" w:frame="1"/>
            <w:lang w:eastAsia="pt-BR"/>
          </w:rPr>
          <w:t xml:space="preserve"> profissional</w:t>
        </w:r>
      </w:hyperlink>
      <w:r w:rsidRPr="000B7183">
        <w:rPr>
          <w:rFonts w:ascii="Times New Roman" w:eastAsia="Times New Roman" w:hAnsi="Times New Roman" w:cs="Times New Roman"/>
          <w:sz w:val="27"/>
          <w:szCs w:val="27"/>
          <w:lang w:eastAsia="pt-BR"/>
        </w:rPr>
        <w:t xml:space="preserve"> de curta duração. </w:t>
      </w:r>
      <w:proofErr w:type="gramStart"/>
      <w:r w:rsidRPr="000B7183">
        <w:rPr>
          <w:rFonts w:ascii="Times New Roman" w:eastAsia="Times New Roman" w:hAnsi="Times New Roman" w:cs="Times New Roman"/>
          <w:sz w:val="27"/>
          <w:szCs w:val="27"/>
          <w:lang w:eastAsia="pt-BR"/>
        </w:rPr>
        <w:t xml:space="preserve">Ao contrário, um plano de formação continuada deve-se organizar em etapas </w:t>
      </w:r>
      <w:proofErr w:type="spellStart"/>
      <w:r w:rsidRPr="000B7183">
        <w:rPr>
          <w:rFonts w:ascii="Times New Roman" w:eastAsia="Times New Roman" w:hAnsi="Times New Roman" w:cs="Times New Roman"/>
          <w:sz w:val="27"/>
          <w:szCs w:val="27"/>
          <w:lang w:eastAsia="pt-BR"/>
        </w:rPr>
        <w:t>seqüenciais</w:t>
      </w:r>
      <w:proofErr w:type="spellEnd"/>
      <w:r w:rsidRPr="000B7183">
        <w:rPr>
          <w:rFonts w:ascii="Times New Roman" w:eastAsia="Times New Roman" w:hAnsi="Times New Roman" w:cs="Times New Roman"/>
          <w:sz w:val="27"/>
          <w:szCs w:val="27"/>
          <w:lang w:eastAsia="pt-BR"/>
        </w:rPr>
        <w:t xml:space="preserve">, progressivas e flexíveis, estruturadas de forma a abarcar vários níveis de conhecimentos – </w:t>
      </w:r>
      <w:r w:rsidRPr="000B7183">
        <w:rPr>
          <w:rFonts w:ascii="Times New Roman" w:eastAsia="Times New Roman" w:hAnsi="Times New Roman" w:cs="Times New Roman"/>
          <w:sz w:val="27"/>
          <w:szCs w:val="27"/>
          <w:lang w:eastAsia="pt-BR"/>
        </w:rPr>
        <w:lastRenderedPageBreak/>
        <w:t>dos básicos e técnicos gerais de uma área até os profissionais mais específicos, incluindo-se aí os saberes mais abrangentes, novos conhecimentos e conceitos relevantes na atualidade, que permitam visão ampla do processo produtivo e dos avanços e conhecimentos culturais, científicos e tecnológicos e que possibilitem a inserção/intervenção na sociedade contemporânea (Moraes &amp; Neto, 2005).</w:t>
      </w:r>
      <w:proofErr w:type="gramEnd"/>
      <w:r w:rsidRPr="000B7183">
        <w:rPr>
          <w:rFonts w:ascii="Times New Roman" w:eastAsia="Times New Roman" w:hAnsi="Times New Roman" w:cs="Times New Roman"/>
          <w:sz w:val="27"/>
          <w:szCs w:val="27"/>
          <w:lang w:eastAsia="pt-BR"/>
        </w:rPr>
        <w:t>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Não se pode ignorar a existência de uma contradição de fundo na configuração de ‘</w:t>
      </w:r>
      <w:hyperlink r:id="rId22" w:tooltip="Próprio verbete [10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A organização da </w:t>
      </w:r>
      <w:bookmarkStart w:id="8" w:name="edupro"/>
      <w:r w:rsidRPr="000B7183">
        <w:rPr>
          <w:rFonts w:ascii="Times New Roman" w:eastAsia="Times New Roman" w:hAnsi="Times New Roman" w:cs="Times New Roman"/>
          <w:sz w:val="27"/>
          <w:szCs w:val="27"/>
          <w:lang w:eastAsia="pt-BR"/>
        </w:rPr>
        <w:fldChar w:fldCharType="begin"/>
      </w:r>
      <w:r w:rsidRPr="000B7183">
        <w:rPr>
          <w:rFonts w:ascii="Times New Roman" w:eastAsia="Times New Roman" w:hAnsi="Times New Roman" w:cs="Times New Roman"/>
          <w:sz w:val="27"/>
          <w:szCs w:val="27"/>
          <w:lang w:eastAsia="pt-BR"/>
        </w:rPr>
        <w:instrText xml:space="preserve"> HYPERLINK "http://www.epsjv.fiocruz.br/dicionario/verbetes/edupro.html" \o "Verbete: Educação Profissional [primeira ocorrência]" </w:instrText>
      </w:r>
      <w:r w:rsidRPr="000B7183">
        <w:rPr>
          <w:rFonts w:ascii="Times New Roman" w:eastAsia="Times New Roman" w:hAnsi="Times New Roman" w:cs="Times New Roman"/>
          <w:sz w:val="27"/>
          <w:szCs w:val="27"/>
          <w:lang w:eastAsia="pt-BR"/>
        </w:rPr>
        <w:fldChar w:fldCharType="separate"/>
      </w:r>
      <w:r w:rsidRPr="000B7183">
        <w:rPr>
          <w:rFonts w:ascii="Times New Roman" w:eastAsia="Times New Roman" w:hAnsi="Times New Roman" w:cs="Times New Roman"/>
          <w:sz w:val="27"/>
          <w:szCs w:val="27"/>
          <w:bdr w:val="none" w:sz="0" w:space="0" w:color="auto" w:frame="1"/>
          <w:lang w:eastAsia="pt-BR"/>
        </w:rPr>
        <w:t>educação profissional</w:t>
      </w:r>
      <w:r w:rsidRPr="000B7183">
        <w:rPr>
          <w:rFonts w:ascii="Times New Roman" w:eastAsia="Times New Roman" w:hAnsi="Times New Roman" w:cs="Times New Roman"/>
          <w:sz w:val="27"/>
          <w:szCs w:val="27"/>
          <w:lang w:eastAsia="pt-BR"/>
        </w:rPr>
        <w:fldChar w:fldCharType="end"/>
      </w:r>
      <w:bookmarkEnd w:id="8"/>
      <w:r w:rsidRPr="000B7183">
        <w:rPr>
          <w:rFonts w:ascii="Times New Roman" w:eastAsia="Times New Roman" w:hAnsi="Times New Roman" w:cs="Times New Roman"/>
          <w:sz w:val="27"/>
          <w:szCs w:val="27"/>
          <w:lang w:eastAsia="pt-BR"/>
        </w:rPr>
        <w:t> em ‘</w:t>
      </w:r>
      <w:hyperlink r:id="rId23" w:tooltip="Próprio verbete [11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flexíveis seria plenamente adequada para uma população que tenha a educação básica universalizada. Nesses termos, a educação de adultos e a </w:t>
      </w:r>
      <w:hyperlink r:id="rId24" w:tooltip="Verbete: Educação Profissional [2º ocorrência]" w:history="1">
        <w:r w:rsidRPr="000B7183">
          <w:rPr>
            <w:rFonts w:ascii="Times New Roman" w:eastAsia="Times New Roman" w:hAnsi="Times New Roman" w:cs="Times New Roman"/>
            <w:sz w:val="27"/>
            <w:szCs w:val="27"/>
            <w:bdr w:val="none" w:sz="0" w:space="0" w:color="auto" w:frame="1"/>
            <w:lang w:eastAsia="pt-BR"/>
          </w:rPr>
          <w:t>educação profissional</w:t>
        </w:r>
      </w:hyperlink>
      <w:r w:rsidRPr="000B7183">
        <w:rPr>
          <w:rFonts w:ascii="Times New Roman" w:eastAsia="Times New Roman" w:hAnsi="Times New Roman" w:cs="Times New Roman"/>
          <w:sz w:val="27"/>
          <w:szCs w:val="27"/>
          <w:lang w:eastAsia="pt-BR"/>
        </w:rPr>
        <w:t> se fundiriam como política de educação continuada. Nem a primeira seria uma modalidade da educação básica voltada para aqueles que a ela não tiveram acesso em idade apropriada, como é o caso do Brasil, nem a segunda poderia ter uma finalidade compensatória em relação à falta da educação básica.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 xml:space="preserve">Não obstante, é exatamente em uma sociedade em que isto não </w:t>
      </w:r>
      <w:proofErr w:type="gramStart"/>
      <w:r w:rsidRPr="000B7183">
        <w:rPr>
          <w:rFonts w:ascii="Times New Roman" w:eastAsia="Times New Roman" w:hAnsi="Times New Roman" w:cs="Times New Roman"/>
          <w:sz w:val="27"/>
          <w:szCs w:val="27"/>
          <w:lang w:eastAsia="pt-BR"/>
        </w:rPr>
        <w:t>acontece,</w:t>
      </w:r>
      <w:proofErr w:type="gramEnd"/>
      <w:r w:rsidRPr="000B7183">
        <w:rPr>
          <w:rFonts w:ascii="Times New Roman" w:eastAsia="Times New Roman" w:hAnsi="Times New Roman" w:cs="Times New Roman"/>
          <w:sz w:val="27"/>
          <w:szCs w:val="27"/>
          <w:lang w:eastAsia="pt-BR"/>
        </w:rPr>
        <w:t xml:space="preserve"> que mais se evidencia a necessidade de a </w:t>
      </w:r>
      <w:hyperlink r:id="rId25" w:tooltip="Verbete: Educação Profissional [3º ocorrência]" w:history="1">
        <w:r w:rsidRPr="000B7183">
          <w:rPr>
            <w:rFonts w:ascii="Times New Roman" w:eastAsia="Times New Roman" w:hAnsi="Times New Roman" w:cs="Times New Roman"/>
            <w:sz w:val="27"/>
            <w:szCs w:val="27"/>
            <w:bdr w:val="none" w:sz="0" w:space="0" w:color="auto" w:frame="1"/>
            <w:lang w:eastAsia="pt-BR"/>
          </w:rPr>
          <w:t>educação profissional</w:t>
        </w:r>
      </w:hyperlink>
      <w:r w:rsidRPr="000B7183">
        <w:rPr>
          <w:rFonts w:ascii="Times New Roman" w:eastAsia="Times New Roman" w:hAnsi="Times New Roman" w:cs="Times New Roman"/>
          <w:sz w:val="27"/>
          <w:szCs w:val="27"/>
          <w:lang w:eastAsia="pt-BR"/>
        </w:rPr>
        <w:t>, integrada à educação básica, ser organizada em ‘</w:t>
      </w:r>
      <w:hyperlink r:id="rId26" w:tooltip="Próprio verbete [12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itinerários formativos</w:t>
        </w:r>
      </w:hyperlink>
      <w:r w:rsidRPr="000B7183">
        <w:rPr>
          <w:rFonts w:ascii="Times New Roman" w:eastAsia="Times New Roman" w:hAnsi="Times New Roman" w:cs="Times New Roman"/>
          <w:sz w:val="27"/>
          <w:szCs w:val="27"/>
          <w:lang w:eastAsia="pt-BR"/>
        </w:rPr>
        <w:t xml:space="preserve">’ para se viabilizar a educação de adultos trabalhadores por reconhecimento e superação dialética de seus saberes construídos em tantas outras experiências diferentes da escolar. Reconhecendo- se essa contradição como própria de uma realidade de exclusão, admiti-la só faz sentido mediante o compromisso ético-político com a travessia em direção a um tipo de sociedade não excludente. Ignorar essa </w:t>
      </w:r>
      <w:r w:rsidRPr="000B7183">
        <w:rPr>
          <w:rFonts w:ascii="Times New Roman" w:eastAsia="Times New Roman" w:hAnsi="Times New Roman" w:cs="Times New Roman"/>
          <w:sz w:val="27"/>
          <w:szCs w:val="27"/>
          <w:lang w:eastAsia="pt-BR"/>
        </w:rPr>
        <w:lastRenderedPageBreak/>
        <w:t>necessidade levaria a ignorar os próprios adultos trabalhadores como sujeitos de conhecimento ou a retificar as alternativas até agora existentes (cursos supletivos e cursos básicos de </w:t>
      </w:r>
      <w:hyperlink r:id="rId27" w:tooltip="Verbete: ≈ Qualificação como Relação Social (semelhante ou associado) [3º ocorrência]" w:history="1">
        <w:r w:rsidRPr="000B7183">
          <w:rPr>
            <w:rFonts w:ascii="Times New Roman" w:eastAsia="Times New Roman" w:hAnsi="Times New Roman" w:cs="Times New Roman"/>
            <w:sz w:val="27"/>
            <w:szCs w:val="27"/>
            <w:bdr w:val="none" w:sz="0" w:space="0" w:color="auto" w:frame="1"/>
            <w:lang w:eastAsia="pt-BR"/>
          </w:rPr>
          <w:t>qualificação profissional</w:t>
        </w:r>
      </w:hyperlink>
      <w:r w:rsidRPr="000B7183">
        <w:rPr>
          <w:rFonts w:ascii="Times New Roman" w:eastAsia="Times New Roman" w:hAnsi="Times New Roman" w:cs="Times New Roman"/>
          <w:sz w:val="27"/>
          <w:szCs w:val="27"/>
          <w:lang w:eastAsia="pt-BR"/>
        </w:rPr>
        <w:t> de curta duração) como as únicas possíveis. Seria, então, cristalizar a exclusão.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proofErr w:type="gramStart"/>
      <w:r w:rsidRPr="000B7183">
        <w:rPr>
          <w:rFonts w:ascii="Times New Roman" w:eastAsia="Times New Roman" w:hAnsi="Times New Roman" w:cs="Times New Roman"/>
          <w:sz w:val="27"/>
          <w:szCs w:val="27"/>
          <w:lang w:eastAsia="pt-BR"/>
        </w:rPr>
        <w:t>Por este compromisso, é preciso, ainda, da perspectiva político-pedagógica, atentar para que a condição autônoma conferida aos cursos, etapas e módulos não acabe fragmentando o conhecimento em compartimentos que simplificam a formação profissional, transformando o conhecimento em mero domínio de um conjunto de técnicas isoladas, de caráter unicamente instrumental, ao invés de se constituir em estratégia de organização da educação integral dos trabalhadores de forma continuamente ascendente, na construção e validação de seus saberes.</w:t>
      </w:r>
      <w:proofErr w:type="gramEnd"/>
      <w:r w:rsidRPr="000B7183">
        <w:rPr>
          <w:rFonts w:ascii="Times New Roman" w:eastAsia="Times New Roman" w:hAnsi="Times New Roman" w:cs="Times New Roman"/>
          <w:sz w:val="27"/>
          <w:szCs w:val="27"/>
          <w:lang w:eastAsia="pt-BR"/>
        </w:rPr>
        <w:t> </w:t>
      </w:r>
    </w:p>
    <w:p w:rsidR="00E548CD" w:rsidRPr="000B7183" w:rsidRDefault="00E548CD" w:rsidP="00E548CD">
      <w:pPr>
        <w:spacing w:after="0" w:line="600" w:lineRule="atLeast"/>
        <w:ind w:firstLine="300"/>
        <w:jc w:val="both"/>
        <w:rPr>
          <w:rFonts w:ascii="Times New Roman" w:eastAsia="Times New Roman" w:hAnsi="Times New Roman" w:cs="Times New Roman"/>
          <w:sz w:val="27"/>
          <w:szCs w:val="27"/>
          <w:lang w:eastAsia="pt-BR"/>
        </w:rPr>
      </w:pPr>
      <w:r w:rsidRPr="000B7183">
        <w:rPr>
          <w:rFonts w:ascii="Times New Roman" w:eastAsia="Times New Roman" w:hAnsi="Times New Roman" w:cs="Times New Roman"/>
          <w:sz w:val="27"/>
          <w:szCs w:val="27"/>
          <w:lang w:eastAsia="pt-BR"/>
        </w:rPr>
        <w:t>Para seguir flexivelmente um ‘</w:t>
      </w:r>
      <w:hyperlink r:id="rId28" w:tooltip="Próprio verbete [3º ocorrência] - clique para voltar ao topo" w:history="1">
        <w:r w:rsidRPr="000B7183">
          <w:rPr>
            <w:rFonts w:ascii="Times New Roman" w:eastAsia="Times New Roman" w:hAnsi="Times New Roman" w:cs="Times New Roman"/>
            <w:sz w:val="27"/>
            <w:szCs w:val="27"/>
            <w:bdr w:val="none" w:sz="0" w:space="0" w:color="auto" w:frame="1"/>
            <w:lang w:eastAsia="pt-BR"/>
          </w:rPr>
          <w:t>itinerário formativo</w:t>
        </w:r>
      </w:hyperlink>
      <w:r w:rsidRPr="000B7183">
        <w:rPr>
          <w:rFonts w:ascii="Times New Roman" w:eastAsia="Times New Roman" w:hAnsi="Times New Roman" w:cs="Times New Roman"/>
          <w:sz w:val="27"/>
          <w:szCs w:val="27"/>
          <w:lang w:eastAsia="pt-BR"/>
        </w:rPr>
        <w:t>’, o trabalhador pode cursar diferentes cursos, etapas ou módulos que culminem numa </w:t>
      </w:r>
      <w:hyperlink r:id="rId29" w:tooltip="Verbete: ≈ Qualificação como Relação Social (semelhante ou associado) [5º ocorrência]" w:history="1">
        <w:r w:rsidRPr="000B7183">
          <w:rPr>
            <w:rFonts w:ascii="Times New Roman" w:eastAsia="Times New Roman" w:hAnsi="Times New Roman" w:cs="Times New Roman"/>
            <w:sz w:val="27"/>
            <w:szCs w:val="27"/>
            <w:bdr w:val="none" w:sz="0" w:space="0" w:color="auto" w:frame="1"/>
            <w:lang w:eastAsia="pt-BR"/>
          </w:rPr>
          <w:t>qualificação</w:t>
        </w:r>
      </w:hyperlink>
      <w:r w:rsidRPr="000B7183">
        <w:rPr>
          <w:rFonts w:ascii="Times New Roman" w:eastAsia="Times New Roman" w:hAnsi="Times New Roman" w:cs="Times New Roman"/>
          <w:sz w:val="27"/>
          <w:szCs w:val="27"/>
          <w:lang w:eastAsia="pt-BR"/>
        </w:rPr>
        <w:t xml:space="preserve"> ou habilitação profissional em diferentes instituições ou programas. Neste caso, há que se garantir a organicidade da ação dessas próprias instituições e programas numa política integrada, bem como um sistema de certificação democrático, construído </w:t>
      </w:r>
      <w:proofErr w:type="gramStart"/>
      <w:r w:rsidRPr="000B7183">
        <w:rPr>
          <w:rFonts w:ascii="Times New Roman" w:eastAsia="Times New Roman" w:hAnsi="Times New Roman" w:cs="Times New Roman"/>
          <w:sz w:val="27"/>
          <w:szCs w:val="27"/>
          <w:lang w:eastAsia="pt-BR"/>
        </w:rPr>
        <w:t>sob bases</w:t>
      </w:r>
      <w:proofErr w:type="gramEnd"/>
      <w:r w:rsidRPr="000B7183">
        <w:rPr>
          <w:rFonts w:ascii="Times New Roman" w:eastAsia="Times New Roman" w:hAnsi="Times New Roman" w:cs="Times New Roman"/>
          <w:sz w:val="27"/>
          <w:szCs w:val="27"/>
          <w:lang w:eastAsia="pt-BR"/>
        </w:rPr>
        <w:t xml:space="preserve"> permanentes de participação e níveis crescentes de autonomia de decisão dos trabalhadores. Afinal, poder-se-ia perguntar: que responsabilidade teria cada uma das instituições com a totalidade da formação dos trabalhadores e com o diagnóstico, a avaliação e o reconhecimento de seus conhecimentos? Essas são questões que não podem ser ignoradas; ao contrário, devem ser analisadas </w:t>
      </w:r>
      <w:r w:rsidRPr="000B7183">
        <w:rPr>
          <w:rFonts w:ascii="Times New Roman" w:eastAsia="Times New Roman" w:hAnsi="Times New Roman" w:cs="Times New Roman"/>
          <w:sz w:val="27"/>
          <w:szCs w:val="27"/>
          <w:lang w:eastAsia="pt-BR"/>
        </w:rPr>
        <w:lastRenderedPageBreak/>
        <w:t>e respondidas à luz da problemática social, educacional e existencial que abordamos neste momento.   </w:t>
      </w:r>
    </w:p>
    <w:p w:rsidR="00E548CD" w:rsidRPr="000B7183" w:rsidRDefault="000B7183" w:rsidP="00E548CD">
      <w:pPr>
        <w:spacing w:after="0" w:line="180" w:lineRule="atLeast"/>
        <w:jc w:val="right"/>
        <w:rPr>
          <w:rFonts w:ascii="Times New Roman" w:eastAsia="Times New Roman" w:hAnsi="Times New Roman" w:cs="Times New Roman"/>
          <w:b/>
          <w:bCs/>
          <w:sz w:val="15"/>
          <w:szCs w:val="15"/>
          <w:lang w:eastAsia="pt-BR"/>
        </w:rPr>
      </w:pPr>
      <w:hyperlink r:id="rId30" w:anchor="topo" w:tooltip="Voltar ao topo" w:history="1">
        <w:proofErr w:type="gramStart"/>
        <w:r w:rsidR="00E548CD" w:rsidRPr="000B7183">
          <w:rPr>
            <w:rFonts w:ascii="Times New Roman" w:eastAsia="Times New Roman" w:hAnsi="Times New Roman" w:cs="Times New Roman"/>
            <w:b/>
            <w:bCs/>
            <w:sz w:val="15"/>
            <w:szCs w:val="15"/>
            <w:bdr w:val="none" w:sz="0" w:space="0" w:color="auto" w:frame="1"/>
            <w:lang w:eastAsia="pt-BR"/>
          </w:rPr>
          <w:t>voltar</w:t>
        </w:r>
        <w:proofErr w:type="gramEnd"/>
        <w:r w:rsidR="00E548CD" w:rsidRPr="000B7183">
          <w:rPr>
            <w:rFonts w:ascii="Times New Roman" w:eastAsia="Times New Roman" w:hAnsi="Times New Roman" w:cs="Times New Roman"/>
            <w:b/>
            <w:bCs/>
            <w:sz w:val="15"/>
            <w:szCs w:val="15"/>
            <w:bdr w:val="none" w:sz="0" w:space="0" w:color="auto" w:frame="1"/>
            <w:lang w:eastAsia="pt-BR"/>
          </w:rPr>
          <w:t xml:space="preserve"> ao topo</w:t>
        </w:r>
      </w:hyperlink>
    </w:p>
    <w:p w:rsidR="00E548CD" w:rsidRPr="000B7183" w:rsidRDefault="00E548CD" w:rsidP="00E548CD">
      <w:pPr>
        <w:pBdr>
          <w:bottom w:val="single" w:sz="6" w:space="0" w:color="CC0000"/>
        </w:pBdr>
        <w:shd w:val="clear" w:color="auto" w:fill="FFCC66"/>
        <w:spacing w:after="0" w:line="300" w:lineRule="atLeast"/>
        <w:ind w:left="750" w:right="750"/>
        <w:outlineLvl w:val="4"/>
        <w:rPr>
          <w:rFonts w:ascii="Geneva" w:eastAsia="Times New Roman" w:hAnsi="Geneva" w:cs="Times New Roman"/>
          <w:b/>
          <w:bCs/>
          <w:caps/>
          <w:spacing w:val="15"/>
          <w:sz w:val="27"/>
          <w:szCs w:val="27"/>
          <w:lang w:eastAsia="pt-BR"/>
        </w:rPr>
      </w:pPr>
      <w:r w:rsidRPr="000B7183">
        <w:rPr>
          <w:rFonts w:ascii="Geneva" w:eastAsia="Times New Roman" w:hAnsi="Geneva" w:cs="Times New Roman"/>
          <w:b/>
          <w:bCs/>
          <w:caps/>
          <w:spacing w:val="15"/>
          <w:sz w:val="27"/>
          <w:szCs w:val="27"/>
          <w:lang w:eastAsia="pt-BR"/>
        </w:rPr>
        <w:t>PARA SABER MAIS</w:t>
      </w:r>
    </w:p>
    <w:p w:rsidR="00E548CD" w:rsidRPr="000B7183" w:rsidRDefault="00E548CD" w:rsidP="00E548CD">
      <w:pPr>
        <w:shd w:val="clear" w:color="auto" w:fill="FFCC66"/>
        <w:spacing w:after="0" w:line="240" w:lineRule="atLeast"/>
        <w:rPr>
          <w:rFonts w:ascii="Times New Roman" w:eastAsia="Times New Roman" w:hAnsi="Times New Roman" w:cs="Times New Roman"/>
          <w:spacing w:val="15"/>
          <w:sz w:val="17"/>
          <w:szCs w:val="17"/>
          <w:lang w:eastAsia="pt-BR"/>
        </w:rPr>
      </w:pPr>
      <w:r w:rsidRPr="000B7183">
        <w:rPr>
          <w:rFonts w:ascii="Times New Roman" w:eastAsia="Times New Roman" w:hAnsi="Times New Roman" w:cs="Times New Roman"/>
          <w:spacing w:val="15"/>
          <w:sz w:val="17"/>
          <w:szCs w:val="17"/>
          <w:lang w:eastAsia="pt-BR"/>
        </w:rPr>
        <w:t>CRIVELLARI, H. Itinerário Formativo Profissional. São Paulo: IIEP, 2005 (</w:t>
      </w:r>
      <w:proofErr w:type="spellStart"/>
      <w:r w:rsidRPr="000B7183">
        <w:rPr>
          <w:rFonts w:ascii="Times New Roman" w:eastAsia="Times New Roman" w:hAnsi="Times New Roman" w:cs="Times New Roman"/>
          <w:spacing w:val="15"/>
          <w:sz w:val="17"/>
          <w:szCs w:val="17"/>
          <w:lang w:eastAsia="pt-BR"/>
        </w:rPr>
        <w:t>Mimeo</w:t>
      </w:r>
      <w:proofErr w:type="spellEnd"/>
      <w:r w:rsidRPr="000B7183">
        <w:rPr>
          <w:rFonts w:ascii="Times New Roman" w:eastAsia="Times New Roman" w:hAnsi="Times New Roman" w:cs="Times New Roman"/>
          <w:spacing w:val="15"/>
          <w:sz w:val="17"/>
          <w:szCs w:val="17"/>
          <w:lang w:eastAsia="pt-BR"/>
        </w:rPr>
        <w:t>.</w:t>
      </w:r>
      <w:proofErr w:type="gramStart"/>
      <w:r w:rsidRPr="000B7183">
        <w:rPr>
          <w:rFonts w:ascii="Times New Roman" w:eastAsia="Times New Roman" w:hAnsi="Times New Roman" w:cs="Times New Roman"/>
          <w:spacing w:val="15"/>
          <w:sz w:val="17"/>
          <w:szCs w:val="17"/>
          <w:lang w:eastAsia="pt-BR"/>
        </w:rPr>
        <w:t>)</w:t>
      </w:r>
      <w:proofErr w:type="gramEnd"/>
      <w:r w:rsidRPr="000B7183">
        <w:rPr>
          <w:rFonts w:ascii="Times New Roman" w:eastAsia="Times New Roman" w:hAnsi="Times New Roman" w:cs="Times New Roman"/>
          <w:spacing w:val="15"/>
          <w:sz w:val="17"/>
          <w:szCs w:val="17"/>
          <w:lang w:eastAsia="pt-BR"/>
        </w:rPr>
        <w:t> </w:t>
      </w:r>
    </w:p>
    <w:p w:rsidR="00E548CD" w:rsidRPr="000B7183" w:rsidRDefault="00E548CD" w:rsidP="00E548CD">
      <w:pPr>
        <w:shd w:val="clear" w:color="auto" w:fill="FFCC66"/>
        <w:spacing w:after="0" w:line="240" w:lineRule="atLeast"/>
        <w:rPr>
          <w:rFonts w:ascii="Times New Roman" w:eastAsia="Times New Roman" w:hAnsi="Times New Roman" w:cs="Times New Roman"/>
          <w:spacing w:val="15"/>
          <w:sz w:val="17"/>
          <w:szCs w:val="17"/>
          <w:lang w:eastAsia="pt-BR"/>
        </w:rPr>
      </w:pPr>
      <w:r w:rsidRPr="000B7183">
        <w:rPr>
          <w:rFonts w:ascii="Times New Roman" w:eastAsia="Times New Roman" w:hAnsi="Times New Roman" w:cs="Times New Roman"/>
          <w:spacing w:val="15"/>
          <w:sz w:val="17"/>
          <w:szCs w:val="17"/>
          <w:lang w:eastAsia="pt-BR"/>
        </w:rPr>
        <w:t>IIEP. Currículo em Bases Modulares. São Paulo: IIEP, 2005 (</w:t>
      </w:r>
      <w:proofErr w:type="spellStart"/>
      <w:r w:rsidRPr="000B7183">
        <w:rPr>
          <w:rFonts w:ascii="Times New Roman" w:eastAsia="Times New Roman" w:hAnsi="Times New Roman" w:cs="Times New Roman"/>
          <w:spacing w:val="15"/>
          <w:sz w:val="17"/>
          <w:szCs w:val="17"/>
          <w:lang w:eastAsia="pt-BR"/>
        </w:rPr>
        <w:t>Mimeo</w:t>
      </w:r>
      <w:proofErr w:type="spellEnd"/>
      <w:r w:rsidRPr="000B7183">
        <w:rPr>
          <w:rFonts w:ascii="Times New Roman" w:eastAsia="Times New Roman" w:hAnsi="Times New Roman" w:cs="Times New Roman"/>
          <w:spacing w:val="15"/>
          <w:sz w:val="17"/>
          <w:szCs w:val="17"/>
          <w:lang w:eastAsia="pt-BR"/>
        </w:rPr>
        <w:t>.</w:t>
      </w:r>
      <w:proofErr w:type="gramStart"/>
      <w:r w:rsidRPr="000B7183">
        <w:rPr>
          <w:rFonts w:ascii="Times New Roman" w:eastAsia="Times New Roman" w:hAnsi="Times New Roman" w:cs="Times New Roman"/>
          <w:spacing w:val="15"/>
          <w:sz w:val="17"/>
          <w:szCs w:val="17"/>
          <w:lang w:eastAsia="pt-BR"/>
        </w:rPr>
        <w:t>)</w:t>
      </w:r>
      <w:proofErr w:type="gramEnd"/>
      <w:r w:rsidRPr="000B7183">
        <w:rPr>
          <w:rFonts w:ascii="Times New Roman" w:eastAsia="Times New Roman" w:hAnsi="Times New Roman" w:cs="Times New Roman"/>
          <w:spacing w:val="15"/>
          <w:sz w:val="17"/>
          <w:szCs w:val="17"/>
          <w:lang w:eastAsia="pt-BR"/>
        </w:rPr>
        <w:t> </w:t>
      </w:r>
    </w:p>
    <w:p w:rsidR="00E548CD" w:rsidRPr="000B7183" w:rsidRDefault="00E548CD" w:rsidP="00E548CD">
      <w:pPr>
        <w:shd w:val="clear" w:color="auto" w:fill="FFCC66"/>
        <w:spacing w:after="0" w:line="240" w:lineRule="atLeast"/>
        <w:rPr>
          <w:rFonts w:ascii="Times New Roman" w:eastAsia="Times New Roman" w:hAnsi="Times New Roman" w:cs="Times New Roman"/>
          <w:spacing w:val="15"/>
          <w:sz w:val="17"/>
          <w:szCs w:val="17"/>
          <w:lang w:eastAsia="pt-BR"/>
        </w:rPr>
      </w:pPr>
      <w:r w:rsidRPr="000B7183">
        <w:rPr>
          <w:rFonts w:ascii="Times New Roman" w:eastAsia="Times New Roman" w:hAnsi="Times New Roman" w:cs="Times New Roman"/>
          <w:spacing w:val="15"/>
          <w:sz w:val="17"/>
          <w:szCs w:val="17"/>
          <w:lang w:eastAsia="pt-BR"/>
        </w:rPr>
        <w:t>IIEP. Itinerário Formativo: expectativas dos alunos e realidade. São Paulo: IIEP, s.d. (</w:t>
      </w:r>
      <w:proofErr w:type="spellStart"/>
      <w:r w:rsidRPr="000B7183">
        <w:rPr>
          <w:rFonts w:ascii="Times New Roman" w:eastAsia="Times New Roman" w:hAnsi="Times New Roman" w:cs="Times New Roman"/>
          <w:spacing w:val="15"/>
          <w:sz w:val="17"/>
          <w:szCs w:val="17"/>
          <w:lang w:eastAsia="pt-BR"/>
        </w:rPr>
        <w:t>Mimeo</w:t>
      </w:r>
      <w:proofErr w:type="spellEnd"/>
      <w:r w:rsidRPr="000B7183">
        <w:rPr>
          <w:rFonts w:ascii="Times New Roman" w:eastAsia="Times New Roman" w:hAnsi="Times New Roman" w:cs="Times New Roman"/>
          <w:spacing w:val="15"/>
          <w:sz w:val="17"/>
          <w:szCs w:val="17"/>
          <w:lang w:eastAsia="pt-BR"/>
        </w:rPr>
        <w:t>.</w:t>
      </w:r>
      <w:proofErr w:type="gramStart"/>
      <w:r w:rsidRPr="000B7183">
        <w:rPr>
          <w:rFonts w:ascii="Times New Roman" w:eastAsia="Times New Roman" w:hAnsi="Times New Roman" w:cs="Times New Roman"/>
          <w:spacing w:val="15"/>
          <w:sz w:val="17"/>
          <w:szCs w:val="17"/>
          <w:lang w:eastAsia="pt-BR"/>
        </w:rPr>
        <w:t>)</w:t>
      </w:r>
      <w:proofErr w:type="gramEnd"/>
      <w:r w:rsidRPr="000B7183">
        <w:rPr>
          <w:rFonts w:ascii="Times New Roman" w:eastAsia="Times New Roman" w:hAnsi="Times New Roman" w:cs="Times New Roman"/>
          <w:spacing w:val="15"/>
          <w:sz w:val="17"/>
          <w:szCs w:val="17"/>
          <w:lang w:eastAsia="pt-BR"/>
        </w:rPr>
        <w:t> </w:t>
      </w:r>
    </w:p>
    <w:p w:rsidR="00E548CD" w:rsidRPr="000B7183" w:rsidRDefault="00E548CD" w:rsidP="00E548CD">
      <w:pPr>
        <w:shd w:val="clear" w:color="auto" w:fill="FFCC66"/>
        <w:spacing w:after="0" w:line="240" w:lineRule="atLeast"/>
        <w:rPr>
          <w:rFonts w:ascii="Times New Roman" w:eastAsia="Times New Roman" w:hAnsi="Times New Roman" w:cs="Times New Roman"/>
          <w:spacing w:val="15"/>
          <w:sz w:val="17"/>
          <w:szCs w:val="17"/>
          <w:lang w:eastAsia="pt-BR"/>
        </w:rPr>
      </w:pPr>
      <w:r w:rsidRPr="000B7183">
        <w:rPr>
          <w:rFonts w:ascii="Times New Roman" w:eastAsia="Times New Roman" w:hAnsi="Times New Roman" w:cs="Times New Roman"/>
          <w:spacing w:val="15"/>
          <w:sz w:val="17"/>
          <w:szCs w:val="17"/>
          <w:lang w:eastAsia="pt-BR"/>
        </w:rPr>
        <w:t>MACHADO, L. Currículo em Bases Contínuas. São Paulo: IIEP, 2005 (</w:t>
      </w:r>
      <w:proofErr w:type="spellStart"/>
      <w:r w:rsidRPr="000B7183">
        <w:rPr>
          <w:rFonts w:ascii="Times New Roman" w:eastAsia="Times New Roman" w:hAnsi="Times New Roman" w:cs="Times New Roman"/>
          <w:spacing w:val="15"/>
          <w:sz w:val="17"/>
          <w:szCs w:val="17"/>
          <w:lang w:eastAsia="pt-BR"/>
        </w:rPr>
        <w:t>Mimeo</w:t>
      </w:r>
      <w:proofErr w:type="spellEnd"/>
      <w:r w:rsidRPr="000B7183">
        <w:rPr>
          <w:rFonts w:ascii="Times New Roman" w:eastAsia="Times New Roman" w:hAnsi="Times New Roman" w:cs="Times New Roman"/>
          <w:spacing w:val="15"/>
          <w:sz w:val="17"/>
          <w:szCs w:val="17"/>
          <w:lang w:eastAsia="pt-BR"/>
        </w:rPr>
        <w:t>.</w:t>
      </w:r>
      <w:proofErr w:type="gramStart"/>
      <w:r w:rsidRPr="000B7183">
        <w:rPr>
          <w:rFonts w:ascii="Times New Roman" w:eastAsia="Times New Roman" w:hAnsi="Times New Roman" w:cs="Times New Roman"/>
          <w:spacing w:val="15"/>
          <w:sz w:val="17"/>
          <w:szCs w:val="17"/>
          <w:lang w:eastAsia="pt-BR"/>
        </w:rPr>
        <w:t>)</w:t>
      </w:r>
      <w:proofErr w:type="gramEnd"/>
      <w:r w:rsidRPr="000B7183">
        <w:rPr>
          <w:rFonts w:ascii="Times New Roman" w:eastAsia="Times New Roman" w:hAnsi="Times New Roman" w:cs="Times New Roman"/>
          <w:spacing w:val="15"/>
          <w:sz w:val="17"/>
          <w:szCs w:val="17"/>
          <w:lang w:eastAsia="pt-BR"/>
        </w:rPr>
        <w:t> </w:t>
      </w:r>
    </w:p>
    <w:p w:rsidR="00E548CD" w:rsidRPr="000B7183" w:rsidRDefault="00E548CD" w:rsidP="00E548CD">
      <w:pPr>
        <w:shd w:val="clear" w:color="auto" w:fill="FFCC66"/>
        <w:spacing w:line="240" w:lineRule="atLeast"/>
        <w:rPr>
          <w:rFonts w:ascii="Times New Roman" w:eastAsia="Times New Roman" w:hAnsi="Times New Roman" w:cs="Times New Roman"/>
          <w:spacing w:val="15"/>
          <w:sz w:val="17"/>
          <w:szCs w:val="17"/>
          <w:lang w:eastAsia="pt-BR"/>
        </w:rPr>
      </w:pPr>
      <w:r w:rsidRPr="000B7183">
        <w:rPr>
          <w:rFonts w:ascii="Times New Roman" w:eastAsia="Times New Roman" w:hAnsi="Times New Roman" w:cs="Times New Roman"/>
          <w:spacing w:val="15"/>
          <w:sz w:val="17"/>
          <w:szCs w:val="17"/>
          <w:lang w:eastAsia="pt-BR"/>
        </w:rPr>
        <w:t>MORAES, C. &amp; NETO, S. A Certificação de Conhecimentos e Saberes como Parte do Direito à Educação e Formação. São Paulo, 2005 (</w:t>
      </w:r>
      <w:proofErr w:type="spellStart"/>
      <w:r w:rsidRPr="000B7183">
        <w:rPr>
          <w:rFonts w:ascii="Times New Roman" w:eastAsia="Times New Roman" w:hAnsi="Times New Roman" w:cs="Times New Roman"/>
          <w:spacing w:val="15"/>
          <w:sz w:val="17"/>
          <w:szCs w:val="17"/>
          <w:lang w:eastAsia="pt-BR"/>
        </w:rPr>
        <w:t>Mimeo</w:t>
      </w:r>
      <w:proofErr w:type="spellEnd"/>
      <w:r w:rsidRPr="000B7183">
        <w:rPr>
          <w:rFonts w:ascii="Times New Roman" w:eastAsia="Times New Roman" w:hAnsi="Times New Roman" w:cs="Times New Roman"/>
          <w:spacing w:val="15"/>
          <w:sz w:val="17"/>
          <w:szCs w:val="17"/>
          <w:lang w:eastAsia="pt-BR"/>
        </w:rPr>
        <w:t>.</w:t>
      </w:r>
      <w:proofErr w:type="gramStart"/>
      <w:r w:rsidRPr="000B7183">
        <w:rPr>
          <w:rFonts w:ascii="Times New Roman" w:eastAsia="Times New Roman" w:hAnsi="Times New Roman" w:cs="Times New Roman"/>
          <w:spacing w:val="15"/>
          <w:sz w:val="17"/>
          <w:szCs w:val="17"/>
          <w:lang w:eastAsia="pt-BR"/>
        </w:rPr>
        <w:t>)</w:t>
      </w:r>
      <w:proofErr w:type="gramEnd"/>
    </w:p>
    <w:p w:rsidR="00E548CD" w:rsidRPr="000B7183" w:rsidRDefault="000B7183" w:rsidP="00E548CD">
      <w:pPr>
        <w:shd w:val="clear" w:color="auto" w:fill="F3F3F3"/>
        <w:spacing w:after="75" w:line="180" w:lineRule="atLeast"/>
        <w:jc w:val="right"/>
        <w:rPr>
          <w:rFonts w:ascii="Verdana" w:eastAsia="Times New Roman" w:hAnsi="Verdana" w:cs="Times New Roman"/>
          <w:b/>
          <w:bCs/>
          <w:sz w:val="15"/>
          <w:szCs w:val="15"/>
          <w:lang w:eastAsia="pt-BR"/>
        </w:rPr>
      </w:pPr>
      <w:hyperlink r:id="rId31" w:anchor="topo" w:tooltip="Voltar ao topo" w:history="1">
        <w:proofErr w:type="gramStart"/>
        <w:r w:rsidR="00E548CD" w:rsidRPr="000B7183">
          <w:rPr>
            <w:rFonts w:ascii="Verdana" w:eastAsia="Times New Roman" w:hAnsi="Verdana" w:cs="Times New Roman"/>
            <w:b/>
            <w:bCs/>
            <w:sz w:val="15"/>
            <w:szCs w:val="15"/>
            <w:bdr w:val="none" w:sz="0" w:space="0" w:color="auto" w:frame="1"/>
            <w:lang w:eastAsia="pt-BR"/>
          </w:rPr>
          <w:t>voltar</w:t>
        </w:r>
        <w:proofErr w:type="gramEnd"/>
        <w:r w:rsidR="00E548CD" w:rsidRPr="000B7183">
          <w:rPr>
            <w:rFonts w:ascii="Verdana" w:eastAsia="Times New Roman" w:hAnsi="Verdana" w:cs="Times New Roman"/>
            <w:b/>
            <w:bCs/>
            <w:sz w:val="15"/>
            <w:szCs w:val="15"/>
            <w:bdr w:val="none" w:sz="0" w:space="0" w:color="auto" w:frame="1"/>
            <w:lang w:eastAsia="pt-BR"/>
          </w:rPr>
          <w:t xml:space="preserve"> ao topo</w:t>
        </w:r>
      </w:hyperlink>
    </w:p>
    <w:bookmarkEnd w:id="0"/>
    <w:p w:rsidR="00092C80" w:rsidRPr="000B7183" w:rsidRDefault="000B7183"/>
    <w:sectPr w:rsidR="00092C80" w:rsidRPr="000B71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CD"/>
    <w:rsid w:val="000B7183"/>
    <w:rsid w:val="004205F4"/>
    <w:rsid w:val="009A3B40"/>
    <w:rsid w:val="00C2418C"/>
    <w:rsid w:val="00E54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548C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548C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548C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548C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548C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548CD"/>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E548CD"/>
    <w:rPr>
      <w:color w:val="0000FF"/>
      <w:u w:val="single"/>
    </w:rPr>
  </w:style>
  <w:style w:type="paragraph" w:customStyle="1" w:styleId="primeiro">
    <w:name w:val="primeiro"/>
    <w:basedOn w:val="Normal"/>
    <w:rsid w:val="00E548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itular">
    <w:name w:val="capitular"/>
    <w:basedOn w:val="Fontepargpadro"/>
    <w:rsid w:val="00E548CD"/>
  </w:style>
  <w:style w:type="character" w:customStyle="1" w:styleId="apple-converted-space">
    <w:name w:val="apple-converted-space"/>
    <w:basedOn w:val="Fontepargpadro"/>
    <w:rsid w:val="00E548CD"/>
  </w:style>
  <w:style w:type="paragraph" w:styleId="NormalWeb">
    <w:name w:val="Normal (Web)"/>
    <w:basedOn w:val="Normal"/>
    <w:uiPriority w:val="99"/>
    <w:semiHidden/>
    <w:unhideWhenUsed/>
    <w:rsid w:val="00E548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54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548C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548C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548C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548C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548C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548CD"/>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E548CD"/>
    <w:rPr>
      <w:color w:val="0000FF"/>
      <w:u w:val="single"/>
    </w:rPr>
  </w:style>
  <w:style w:type="paragraph" w:customStyle="1" w:styleId="primeiro">
    <w:name w:val="primeiro"/>
    <w:basedOn w:val="Normal"/>
    <w:rsid w:val="00E548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itular">
    <w:name w:val="capitular"/>
    <w:basedOn w:val="Fontepargpadro"/>
    <w:rsid w:val="00E548CD"/>
  </w:style>
  <w:style w:type="character" w:customStyle="1" w:styleId="apple-converted-space">
    <w:name w:val="apple-converted-space"/>
    <w:basedOn w:val="Fontepargpadro"/>
    <w:rsid w:val="00E548CD"/>
  </w:style>
  <w:style w:type="paragraph" w:styleId="NormalWeb">
    <w:name w:val="Normal (Web)"/>
    <w:basedOn w:val="Normal"/>
    <w:uiPriority w:val="99"/>
    <w:semiHidden/>
    <w:unhideWhenUsed/>
    <w:rsid w:val="00E548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54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4348">
      <w:bodyDiv w:val="1"/>
      <w:marLeft w:val="0"/>
      <w:marRight w:val="0"/>
      <w:marTop w:val="0"/>
      <w:marBottom w:val="0"/>
      <w:divBdr>
        <w:top w:val="none" w:sz="0" w:space="0" w:color="auto"/>
        <w:left w:val="none" w:sz="0" w:space="0" w:color="auto"/>
        <w:bottom w:val="none" w:sz="0" w:space="0" w:color="auto"/>
        <w:right w:val="none" w:sz="0" w:space="0" w:color="auto"/>
      </w:divBdr>
      <w:divsChild>
        <w:div w:id="1520314987">
          <w:marLeft w:val="0"/>
          <w:marRight w:val="0"/>
          <w:marTop w:val="0"/>
          <w:marBottom w:val="0"/>
          <w:divBdr>
            <w:top w:val="none" w:sz="0" w:space="0" w:color="auto"/>
            <w:left w:val="none" w:sz="0" w:space="0" w:color="auto"/>
            <w:bottom w:val="none" w:sz="0" w:space="0" w:color="auto"/>
            <w:right w:val="none" w:sz="0" w:space="0" w:color="auto"/>
          </w:divBdr>
        </w:div>
        <w:div w:id="1479541540">
          <w:marLeft w:val="450"/>
          <w:marRight w:val="450"/>
          <w:marTop w:val="300"/>
          <w:marBottom w:val="0"/>
          <w:divBdr>
            <w:top w:val="none" w:sz="0" w:space="0" w:color="auto"/>
            <w:left w:val="none" w:sz="0" w:space="0" w:color="auto"/>
            <w:bottom w:val="single" w:sz="6" w:space="2" w:color="FC8930"/>
            <w:right w:val="none" w:sz="0" w:space="0" w:color="auto"/>
          </w:divBdr>
        </w:div>
        <w:div w:id="905338561">
          <w:marLeft w:val="300"/>
          <w:marRight w:val="300"/>
          <w:marTop w:val="450"/>
          <w:marBottom w:val="450"/>
          <w:divBdr>
            <w:top w:val="single" w:sz="6" w:space="15" w:color="CC0000"/>
            <w:left w:val="single" w:sz="6" w:space="0" w:color="CC0000"/>
            <w:bottom w:val="single" w:sz="6" w:space="15" w:color="CC0000"/>
            <w:right w:val="single" w:sz="6" w:space="0" w:color="CC0000"/>
          </w:divBdr>
          <w:divsChild>
            <w:div w:id="1984383977">
              <w:marLeft w:val="0"/>
              <w:marRight w:val="0"/>
              <w:marTop w:val="0"/>
              <w:marBottom w:val="0"/>
              <w:divBdr>
                <w:top w:val="none" w:sz="0" w:space="0" w:color="auto"/>
                <w:left w:val="none" w:sz="0" w:space="0" w:color="auto"/>
                <w:bottom w:val="none" w:sz="0" w:space="0" w:color="auto"/>
                <w:right w:val="none" w:sz="0" w:space="0" w:color="auto"/>
              </w:divBdr>
            </w:div>
          </w:divsChild>
        </w:div>
        <w:div w:id="1479033519">
          <w:marLeft w:val="0"/>
          <w:marRight w:val="0"/>
          <w:marTop w:val="0"/>
          <w:marBottom w:val="0"/>
          <w:divBdr>
            <w:top w:val="none" w:sz="0" w:space="0" w:color="auto"/>
            <w:left w:val="none" w:sz="0" w:space="0" w:color="auto"/>
            <w:bottom w:val="none" w:sz="0" w:space="0" w:color="auto"/>
            <w:right w:val="none" w:sz="0" w:space="0" w:color="auto"/>
          </w:divBdr>
          <w:divsChild>
            <w:div w:id="846135744">
              <w:marLeft w:val="450"/>
              <w:marRight w:val="450"/>
              <w:marTop w:val="450"/>
              <w:marBottom w:val="75"/>
              <w:divBdr>
                <w:top w:val="none" w:sz="0" w:space="0" w:color="auto"/>
                <w:left w:val="none" w:sz="0" w:space="0" w:color="auto"/>
                <w:bottom w:val="single" w:sz="6" w:space="2" w:color="EA420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jv.fiocruz.br/dicionario/verbetes/itifor.html" TargetMode="External"/><Relationship Id="rId13" Type="http://schemas.openxmlformats.org/officeDocument/2006/relationships/hyperlink" Target="http://www.epsjv.fiocruz.br/dicionario/verbetes/itifor.html" TargetMode="External"/><Relationship Id="rId18" Type="http://schemas.openxmlformats.org/officeDocument/2006/relationships/hyperlink" Target="http://www.epsjv.fiocruz.br/dicionario/verbetes/itifor.html" TargetMode="External"/><Relationship Id="rId26" Type="http://schemas.openxmlformats.org/officeDocument/2006/relationships/hyperlink" Target="http://www.epsjv.fiocruz.br/dicionario/verbetes/itifor.html" TargetMode="External"/><Relationship Id="rId3" Type="http://schemas.openxmlformats.org/officeDocument/2006/relationships/settings" Target="settings.xml"/><Relationship Id="rId21" Type="http://schemas.openxmlformats.org/officeDocument/2006/relationships/hyperlink" Target="http://www.epsjv.fiocruz.br/dicionario/verbetes/quarelsoc.html" TargetMode="External"/><Relationship Id="rId7" Type="http://schemas.openxmlformats.org/officeDocument/2006/relationships/hyperlink" Target="http://www.epsjv.fiocruz.br/dicionario/verbetes/itifor.html" TargetMode="External"/><Relationship Id="rId12" Type="http://schemas.openxmlformats.org/officeDocument/2006/relationships/hyperlink" Target="http://www.epsjv.fiocruz.br/dicionario/verbetes/quarelsoc.html" TargetMode="External"/><Relationship Id="rId17" Type="http://schemas.openxmlformats.org/officeDocument/2006/relationships/hyperlink" Target="http://www.epsjv.fiocruz.br/dicionario/verbetes/itifor.html" TargetMode="External"/><Relationship Id="rId25" Type="http://schemas.openxmlformats.org/officeDocument/2006/relationships/hyperlink" Target="http://www.epsjv.fiocruz.br/dicionario/verbetes/edupro.htm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psjv.fiocruz.br/dicionario/verbetes/itifor.html" TargetMode="External"/><Relationship Id="rId20" Type="http://schemas.openxmlformats.org/officeDocument/2006/relationships/hyperlink" Target="http://www.epsjv.fiocruz.br/dicionario/verbetes/itifor.html" TargetMode="External"/><Relationship Id="rId29" Type="http://schemas.openxmlformats.org/officeDocument/2006/relationships/hyperlink" Target="http://www.epsjv.fiocruz.br/dicionario/verbetes/quarelsoc.html" TargetMode="External"/><Relationship Id="rId1" Type="http://schemas.openxmlformats.org/officeDocument/2006/relationships/styles" Target="styles.xml"/><Relationship Id="rId6" Type="http://schemas.openxmlformats.org/officeDocument/2006/relationships/hyperlink" Target="http://www.epsjv.fiocruz.br/dicionario/verbetes/itifor.html" TargetMode="External"/><Relationship Id="rId11" Type="http://schemas.openxmlformats.org/officeDocument/2006/relationships/hyperlink" Target="http://www.epsjv.fiocruz.br/dicionario/verbetes/itifor.html" TargetMode="External"/><Relationship Id="rId24" Type="http://schemas.openxmlformats.org/officeDocument/2006/relationships/hyperlink" Target="http://www.epsjv.fiocruz.br/dicionario/verbetes/edupro.html" TargetMode="External"/><Relationship Id="rId32" Type="http://schemas.openxmlformats.org/officeDocument/2006/relationships/fontTable" Target="fontTable.xml"/><Relationship Id="rId5" Type="http://schemas.openxmlformats.org/officeDocument/2006/relationships/hyperlink" Target="http://www.epsjv.fiocruz.br/dicionario/autores.html" TargetMode="External"/><Relationship Id="rId15" Type="http://schemas.openxmlformats.org/officeDocument/2006/relationships/hyperlink" Target="http://www.epsjv.fiocruz.br/dicionario/verbetes/quarelsoc.html" TargetMode="External"/><Relationship Id="rId23" Type="http://schemas.openxmlformats.org/officeDocument/2006/relationships/hyperlink" Target="http://www.epsjv.fiocruz.br/dicionario/verbetes/itifor.html" TargetMode="External"/><Relationship Id="rId28" Type="http://schemas.openxmlformats.org/officeDocument/2006/relationships/hyperlink" Target="http://www.epsjv.fiocruz.br/dicionario/verbetes/itifor.html" TargetMode="External"/><Relationship Id="rId10" Type="http://schemas.openxmlformats.org/officeDocument/2006/relationships/hyperlink" Target="http://www.epsjv.fiocruz.br/dicionario/verbetes/quarelsoc.html" TargetMode="External"/><Relationship Id="rId19" Type="http://schemas.openxmlformats.org/officeDocument/2006/relationships/hyperlink" Target="http://www.epsjv.fiocruz.br/dicionario/verbetes/itifor.html" TargetMode="External"/><Relationship Id="rId31" Type="http://schemas.openxmlformats.org/officeDocument/2006/relationships/hyperlink" Target="http://www.epsjv.fiocruz.br/dicionario/verbetes/itifor.html" TargetMode="External"/><Relationship Id="rId4" Type="http://schemas.openxmlformats.org/officeDocument/2006/relationships/webSettings" Target="webSettings.xml"/><Relationship Id="rId9" Type="http://schemas.openxmlformats.org/officeDocument/2006/relationships/hyperlink" Target="http://www.epsjv.fiocruz.br/dicionario/verbetes/itifor.html" TargetMode="External"/><Relationship Id="rId14" Type="http://schemas.openxmlformats.org/officeDocument/2006/relationships/hyperlink" Target="http://www.epsjv.fiocruz.br/dicionario/verbetes/quarelsoc.html" TargetMode="External"/><Relationship Id="rId22" Type="http://schemas.openxmlformats.org/officeDocument/2006/relationships/hyperlink" Target="http://www.epsjv.fiocruz.br/dicionario/verbetes/itifor.html" TargetMode="External"/><Relationship Id="rId27" Type="http://schemas.openxmlformats.org/officeDocument/2006/relationships/hyperlink" Target="http://www.epsjv.fiocruz.br/dicionario/verbetes/quarelsoc.html" TargetMode="External"/><Relationship Id="rId30" Type="http://schemas.openxmlformats.org/officeDocument/2006/relationships/hyperlink" Target="http://www.epsjv.fiocruz.br/dicionario/verbetes/itifor.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2639</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Jair</cp:lastModifiedBy>
  <cp:revision>2</cp:revision>
  <dcterms:created xsi:type="dcterms:W3CDTF">2014-02-18T13:12:00Z</dcterms:created>
  <dcterms:modified xsi:type="dcterms:W3CDTF">2014-04-30T17:23:00Z</dcterms:modified>
</cp:coreProperties>
</file>